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>Нормативные правовые и иные акты в сфере противодействия коррупции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Федеральные законы Российской Федерации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"https://music-museum.ru/images/about/documents/Protivodeistvo%20Korrupcii/Federalnie%20zakoni/fz-ot-25-dekabrya-2008-goda-273-fz-o-protivodeystvii-korruptsii-.pdf"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Федеральный закон от 25.12.2008 N 273-ФЗ (в ред. от 31.07.2020 N 259-ФЗ) «О противодействии коррупции»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"http://www.kremlin.ru/acts/bank/28623"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http://www.kremlin.ru/acts/bank/28623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"https://music-museum.ru/images/about/documents/Protivodeistvo%20Korrupcii/Federalnie%20zakoni/fz-ot-03.12.2012-231-fz-red.-ot-22.12.2014-.pdf"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Федеральный закон от 03.12.2012 N 231-ФЗ (ред. от 22.12.2014)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"http://www.kremlin.ru/acts/bank/36432"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http://www.kremlin.ru/acts/bank/36432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"https://music-museum.ru/images/doc/protivodeystvie-corruptsii/federalnyij-zakon-ot-03.12.2012-230-fz-red.-ot-30.12.2020.pdf"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Федеральный закон от 03.12.2012 N 230-ФЗ (ред. от 30.12.2020)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"http://pravo.gov.ru/proxy/ips/?docbody=&amp;nd=102161337&amp;intelsearch=%D4%E5%E4%E5%F0%E0%EB%FC%ED%FB%E9+%E7%E0%EA%EE%ED+%D0%EE%F1%F1%E8%E9%F1%EA%EE%E9+%D4%E5%E4%E5%F0%E0%F6%E8%E8+%EE%F2+03.12.2012+%B9+230-%D4%C7"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http://pravo.gov.ru/proxy/ips/?docbody=&amp;nd=102161337&amp;intelsearch=%D4%E5%E4%E5%F0%E0%EB%FC%ED%FB%E9+%E7%E0%EA%EE%ED+%D0%EE%F1%F1%E8%E9%F1%EA%EE%E9+%D4%E5%E4%E5%F0%E0%F6%E8%E8+%EE%F2+03.12.2012+%B9+230-%D4%C7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"https://music-museum.ru/images/about/documents/Protivodeistvo%20Korrupcii/Federalnie%20zakoni/fz-ot-29.12.2012-280-fz.pdf"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Федеральный закон от 29.12.2012 N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0" w:name="_gjdgxs" w:colFirst="0" w:colLast="0"/>
      <w:bookmarkEnd w:id="0"/>
      <w:r>
        <w:fldChar w:fldCharType="begin"/>
      </w:r>
      <w:r>
        <w:instrText xml:space="preserve"> HYPERLINK "http://pravo.gov.ru/proxy/ips/?docbody=&amp;nd=102162478&amp;intelsearch=%D4%E5%E4%E5%F0%E0%EB%FC%ED%FB%E9+%E7%E0%EA%EE%ED+%D0%EE%F1%F1%E8%E9%F1%EA%EE%E9+%D4%E5%E4%E5%F0%E0%F6%E8%E8+%EE%F2+29.12.2012+%B9+280-%D4%C7"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http://pravo.gov.ru/proxy/ips/?docbody=&amp;nd=102162478&amp;intelsearch=%D4%E5%E4%E5%F0%E0%EB%FC%ED%FB%E9+%E7%E0%EA%EE%ED+%D0%EE%F1%F1%E8%E9%F1%EA%EE%E9+%D4%E5%E4%E5%F0%E0%F6%E8%E8+%EE%F2+29.12.2012+%B9+280-%D4%C7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Указы Президента Российской Федерации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"https://music-museum.ru/images/doc/protivodeystvie-corruptsii/ukaz-prezidenta-rf-ot-21.09.2009-1065-red.-ot-10.12.2020.pdf"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Указ Президента РФ от 21.09.2009 N 1065 (ред. от 10.12.2020)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"http://www.kremlin.ru/acts/bank/29868"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t>http://www.kremlin.ru/acts/bank/29868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"https://music-museum.ru/images/doc/protivodeystvie-corruptsii/ukaz-prezidenta-rf-ot-02.04.2013-309-red.-ot-17.05.2021.pdf"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Указ Президента РФ от 02.04.2013 N 309 (ред. от 17.05.2021) 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"http://kremlin.ru/acts/bank/36988"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t>http://kremlin.ru/acts/bank/36988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"https://music-museum.ru/images/doc/protivodeystvie-corruptsii/ukaz-prezidenta-rf-ot-08.07.2013-613-red.-ot-10.12.2020.pdf"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Указ Президента РФ от 08.07.2013 N 613 (ред. от 10.12.2020) «Вопросы противодействия коррупции»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"http://www.kremlin.ru/acts/bank/37451"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t>http://www.kremlin.ru/acts/bank/37451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Постановления Правительства Российской Федерации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"https://music-museum.ru/images/about/documents/Protivodeistvo%20Korrupcii/Postanovlenie%20Pravitelstva/postanovlenie-pravitelstva-rf-ot-13.03.2013-208-red.-ot-06.11.2014-.pdf"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Постановление Правительства РФ от 13.03.2013 N 208 (ред. от 06.11.2014)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"https://legalacts.ru/doc/postanovlenie-pravitelstva-rf-ot-13032013-n-208/"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t>https://legalacts.ru/doc/postanovlenie-pravitelstva-rf-ot-13032013-n-208/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"https://music-museum.ru/images/about/documents/Protivodeistvo%20Korrupcii/Postanovlenie%20Pravitelstva/postanovlenie-pravitelstva-rf-ot-13.03.2013-207-red.-ot-06.11.2014-.pdf"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Постановление Правительства РФ от 13.03.2013 N 207 (ред. от 06.11.2014)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"https://legalacts.ru/doc/postanovlenie-pravitelstva-rf-ot-13032013-n-207/"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t>https://legalacts.ru/doc/postanovlenie-pravitelstva-rf-ot-13032013-n-207/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"https://music-museum.ru/images/about/documents/Protivodeistvo%20Korrupcii/Postanovlenie%20Pravitelstva/postanovlenie-pravitelstva-rf-ot-05.07.2013-568-red.-ot-15.02.2017-.pdf"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Постановление Правительства РФ от 05.07.2013 N 568 (ред. от 15.02.2017)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"http://publication.pravo.gov.ru/Document/View/0001201307090009"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t>http://publication.pravo.gov.ru/Document/View/0001201307090009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"https://music-museum.ru/images/about/documents/Protivodeistvo%20Korrupcii/Postanovlenie%20Pravitelstva/postanovlenie-pravitelstva-rf-ot-09.01.2014-10-red.-ot-12.10.2015-.pdf"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Постановление Правительства РФ от 09.01.2014 N 10 (ред. от 12.10.2015)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"http://pravo.gov.ru/proxy/ips/?docbody=&amp;nd=102170581&amp;intelsearch=%CF%EE%F1%F2%E0%ED%EE%E2%EB%E5%ED%E8%E5+%CF%F0%E0%E2%E8%F2%E5%EB%FC%F1%F2%E2%E0+%D0%EE%F1%F1%E8%E9%F1%EA%EE%E9+%D4%E5%E4%E5%F0%E0%F6%E8%E8+%EE%F2+9+%FF%ED%E2%E0%F0%FF+2014+%E3.+%B9+10"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t>http://pravo.gov.ru/proxy/ips/?docbody=&amp;nd=102170581&amp;intelsearch=%CF%EE%F1%F2%E0%ED%EE%E2%EB%E5%ED%E8%E5+%CF%F0%E0%E2%E8%F2%E5%EB%FC%F1%F2%E2%E0+%D0%EE%F1%F1%E8%E9%F1%EA%EE%E9+%D4%E5%E4%E5%F0%E0%F6%E8%E8+%EE%F2+9+%FF%ED%E2%E0%F0%FF+2014+%E3.+%B9+10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Акты Министерства культуры Российской Федерации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bookmarkStart w:id="1" w:name="_30j0zll" w:colFirst="0" w:colLast="0"/>
      <w:bookmarkEnd w:id="1"/>
      <w:r>
        <w:fldChar w:fldCharType="begin"/>
      </w:r>
      <w:r>
        <w:instrText xml:space="preserve"> HYPERLINK "https://music-museum.ru/images/about/documents/Protivodeistvo%20Korrupcii/Akti%20MinKulta%20RF/Prikaz-Minkultury-Rossii-ot-06.02.2020-_-170.pdf"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Приказ Минкультуры России от 06.02.2020 № 170 «Об утверждении Положения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создаваемых для выполнения задач, поставленных перед Министерством культуры Российской Федерации, а также соблюдения работниками этих организаций требований к служебному поведению»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"https://culture.gov.ru/documents/prikaz-ministerstva-kultury-rossiyskoy-federatsii-ot-06-02-2020-170-ob-utverzhdenii-polozheniya-o-pr/"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t>https://culture.gov.ru/documents/prikaz-ministerstva-kultury-rossiyskoy-federatsii-ot-06-02-2020-170-ob-utverzhdenii-polozheniya-o-pr/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"https://music-museum.ru/images/about/documents/Protivodeistvo%20Korrupcii/Akti%20MinKulta%20RF/prikaz-minkulturyi-rossii-ot-21.07.2015-n-2050-red.-ot-06.02.2020.pdf"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Приказ Минкультуры России от 21.07.2015 N 2050 (ред. от 06.02.2020). «Об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"https://culture.gov.ru/documents/ob_utverzhdenii_poryadka_uvedoml355873/"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t>https://culture.gov.ru/documents/ob_utverzhdenii_poryadka_uvedoml355873/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2" w:name="_1fob9te" w:colFirst="0" w:colLast="0"/>
      <w:bookmarkEnd w:id="2"/>
      <w:r>
        <w:fldChar w:fldCharType="begin"/>
      </w:r>
      <w:r>
        <w:instrText xml:space="preserve"> HYPERLINK "https://music-museum.ru/images/about/documents/Protivodeistvo%20Korrupcii/Akti%20MinKulta%20RF/prikaz-minkultury-rossii-ot-14.08.2015-2222.pdf"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Приказ Минкультуры России от 14 августа 2015 г. № 2222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культуры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3" w:name="_3znysh7" w:colFirst="0" w:colLast="0"/>
      <w:bookmarkEnd w:id="3"/>
      <w:r>
        <w:fldChar w:fldCharType="begin"/>
      </w:r>
      <w:r>
        <w:instrText xml:space="preserve"> HYPERLINK "https://culture.gov.ru/documents/ob_utverzhdenii_poryadka_predsta355925/"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t>https://culture.gov.ru/documents/ob_utverzhdenii_poryadka_predsta355925/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"https://music-museum.ru/images/doc/protivodeystvie-corruptsii/prikaz-minkulturyi-rossii-ot-12.11.2020-1410.pdf"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t>Приказ Минкультуры России от 12.11.2020 № 1410 «Об утверждении перечня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02020"/>
          <w:sz w:val="22"/>
          <w:szCs w:val="22"/>
          <w:highlight w:val="white"/>
          <w:u w:val="non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"https://culture.gov.ru/documents/prikaz-minkultury-rossii-ot-12-11-2020-1410-ob-utverzhdenii-perechnya-otdelnykh-dolzhnostey-v-organi1402202101/"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t>https://culture.gov.ru/documents/prikaz-minkultury-rossii-ot-12-11-2020-1410-ob-utverzhdenii-perechnya-otdelnykh-dolzhnostey-v-organi1402202101/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Акты Министерства труда Российской Федерации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"http://russia-ensemble.ru.21.oml.ru/prikaz"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Приказ Министерства труда и социальной защиты Российской Федерации от 7 октября 2013 № 530н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"http://russia-ensemble.ru.21.oml.ru/prikazmkrf"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Приказ Министерства культуры Российской Федерации от 08.05.2014 № 801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"http://russia-ensemble.ru.21.oml.ru/prikazmkrf2180"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Приказ Министерства культуры Российской Федерации от 11.08.2015 № 2180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>Методические материалы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Методические рекомендации о мерах по повышению эффективности работы по профилактике и противодействию коррупционных правонарушений в организациях, подведомственных Министерству культуры Российской Федерации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fldChar w:fldCharType="begin"/>
      </w:r>
      <w:r>
        <w:instrText xml:space="preserve"> HYPERLINK "http://russia-ensemble.ru.21.oml.ru/d/14_10_2015_1.doc"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Методические рекомендации по разработке и принятию организациями мер по предупреждению и противодействию коррупции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Методические рекомендации Минтруда России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fldChar w:fldCharType="begin"/>
      </w:r>
      <w:r>
        <w:instrText xml:space="preserve"> HYPERLINK "http://russia-ensemble.ru.21.oml.ru/d/24_02_2015_3.pdf"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Формирование негативного отношения к дарению подарков в связи с должностным положением или в связи с исполнением служебных обязательств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Внутренние документы ГАРНА «Россия»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id="4" w:name="_2et92p0" w:colFirst="0" w:colLast="0"/>
      <w:bookmarkEnd w:id="4"/>
      <w:r>
        <w:fldChar w:fldCharType="begin"/>
      </w:r>
      <w:r>
        <w:instrText xml:space="preserve"> HYPERLINK "http://russia-ensemble.ru.21.oml.ru/f/reglament_opredeleniya_urovnya_zashchishchennosti.doc"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highlight w:val="white"/>
          <w:u w:val="single"/>
          <w:vertAlign w:val="baseline"/>
          <w:rtl w:val="0"/>
        </w:rPr>
        <w:t>РЕГЛАМЕНТ 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highlight w:val="white"/>
          <w:u w:val="single"/>
          <w:vertAlign w:val="baseline"/>
          <w:rtl w:val="0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>ОПРЕДЕЛЕНИЯ УРОВНЯ ЗАЩИЩЕННОСТИ ПЕРСОНАЛЬНЫХ ДАННЫХ, ОБРАБАТЫВАЕМЫХ В ИНФОРМАЦИОННЫХ СИСТЕМАХ ПЕРСОНАЛЬНЫХ ДАННЫХ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>
        <w:fldChar w:fldCharType="begin"/>
      </w:r>
      <w:r>
        <w:instrText xml:space="preserve"> HYPERLINK "http://russia-ensemble.ru.21.oml.ru/f/polozhenie_ob_obrabotke_personalnyh_dannyh.doc"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highlight w:val="white"/>
          <w:u w:val="single"/>
          <w:vertAlign w:val="baseline"/>
          <w:rtl w:val="0"/>
        </w:rPr>
        <w:t>ПОЛОЖЕНИЕ 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highlight w:val="white"/>
          <w:u w:val="single"/>
          <w:vertAlign w:val="baseline"/>
          <w:rtl w:val="0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>ОБ ОБРАБОТКЕ ПЕРСОНАЛЬНЫХ ДАННЫХ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>
        <w:fldChar w:fldCharType="begin"/>
      </w:r>
      <w:r>
        <w:instrText xml:space="preserve"> HYPERLINK "http://russia-ensemble.ru.21.oml.ru/f/ezopasnosti_p.doc"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highlight w:val="white"/>
          <w:u w:val="single"/>
          <w:vertAlign w:val="baseline"/>
          <w:rtl w:val="0"/>
        </w:rPr>
        <w:t>ПОЛОЖЕНИЕ 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highlight w:val="white"/>
          <w:u w:val="single"/>
          <w:vertAlign w:val="baseline"/>
          <w:rtl w:val="0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>ОБ ОБЕСПЕЧЕНИИ БЕЗОПАСНОСТИ ПЕРСОНАЛЬНЫХ ДАННЫХ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"http://russia-ensemble.ru.21.oml.ru/f/tki_personal.doc"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highlight w:val="white"/>
          <w:u w:val="single"/>
          <w:vertAlign w:val="baseline"/>
          <w:rtl w:val="0"/>
        </w:rPr>
        <w:t>Политика ГАРНА «Россия» в отношении обработки персональных данных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highlight w:val="white"/>
          <w:u w:val="single"/>
          <w:vertAlign w:val="baseline"/>
          <w:rtl w:val="0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Антикоррупционная политика ГАРНА "Россия"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Антикоррупционная политика ГАРНА Россия </w:t>
      </w:r>
      <w:r>
        <w:fldChar w:fldCharType="begin"/>
      </w:r>
      <w:r>
        <w:instrText xml:space="preserve"> HYPERLINK "http://russia-ensemble.ru.21.oml.ru/d/1-antikorruptsionnayapolitikagarnarossiya.doc"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План по противодействию коррупции ГАРНА Россия </w:t>
      </w:r>
      <w:r>
        <w:fldChar w:fldCharType="begin"/>
      </w:r>
      <w:r>
        <w:instrText xml:space="preserve"> HYPERLINK "http://russia-ensemble.ru.21.oml.ru/d/2-planpoprotivodeystviyukorruptsiigarnarossiya.doc"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Положение о конфликте интересов </w:t>
      </w:r>
      <w:r>
        <w:fldChar w:fldCharType="begin"/>
      </w:r>
      <w:r>
        <w:instrText xml:space="preserve"> HYPERLINK "http://russia-ensemble.ru.21.oml.ru/d/3_polozh.okonflikteinteresov.doc"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Кодекс профессиональной этики и служебного поведения </w:t>
      </w:r>
      <w:r>
        <w:fldChar w:fldCharType="begin"/>
      </w:r>
      <w:r>
        <w:instrText xml:space="preserve"> HYPERLINK "http://russia-ensemble.ru.21.oml.ru/d/4.kodeksprofessionalnoyetikiisluzhebnogopovedeniya.doc"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Правила обмена деловыми подарками </w:t>
      </w:r>
      <w:r>
        <w:fldChar w:fldCharType="begin"/>
      </w:r>
      <w:r>
        <w:instrText xml:space="preserve"> HYPERLINK "http://russia-ensemble.ru.21.oml.ru/d/5_pravilaobmenadelovymipodarkami.doc"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Памятка </w:t>
      </w:r>
      <w:r>
        <w:fldChar w:fldCharType="begin"/>
      </w:r>
      <w:r>
        <w:instrText xml:space="preserve"> HYPERLINK "http://russia-ensemble.ru.21.oml.ru/d/6pamyatka.docx"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Процедура информирования 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 </w:t>
      </w:r>
      <w:r>
        <w:fldChar w:fldCharType="begin"/>
      </w:r>
      <w:r>
        <w:instrText xml:space="preserve"> HYPERLINK "http://russia-ensemble.ru.21.oml.ru/d/7_protsedurainformirovaniyaostavsheyizvestnoy....docx"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Порядок защиты работников, сообщивших о случаях склонения их к совершению коррупционных нарушений </w:t>
      </w:r>
      <w:r>
        <w:fldChar w:fldCharType="begin"/>
      </w:r>
      <w:r>
        <w:instrText xml:space="preserve"> HYPERLINK "http://russia-ensemble.ru.21.oml.ru/d/8_prots.inform.rab.oskloneniyeksoversheniyukorruptsionnykhnarusheniy-kopiya.docx"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Антикоррупционная оговорка </w:t>
      </w:r>
      <w:r>
        <w:fldChar w:fldCharType="begin"/>
      </w:r>
      <w:r>
        <w:instrText xml:space="preserve"> HYPERLINK "http://russia-ensemble.ru.21.oml.ru/d/9_antikorruptsionnaya-ogovorka.doc"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 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Антикоррупционные положения в трудовых договорах </w:t>
      </w:r>
      <w:r>
        <w:fldChar w:fldCharType="begin"/>
      </w:r>
      <w:r>
        <w:instrText xml:space="preserve"> HYPERLINK "http://russia-ensemble.ru.21.oml.ru/d/10_antikorruptsionnyyepolozheniyavtrudovykhdogovorakh.doc"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>Формы документов, связанных с противодействием коррупции, для заполнения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Формы и бланки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Образец заполнения справок о доходах, расходах, об имуществе и обязательствах имущественного характера супруги (супруга) ГГС </w:t>
      </w:r>
      <w:r>
        <w:fldChar w:fldCharType="begin"/>
      </w:r>
      <w:r>
        <w:instrText xml:space="preserve"> HYPERLINK "http://russia-ensemble.ru.21.oml.ru/d/02_03_2015_3-1.doc"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Образец заполнения справок о доходах, расходах, об имуществе и обязательствах имущественного характера несовершеннолетних детей ГГС </w:t>
      </w:r>
      <w:r>
        <w:fldChar w:fldCharType="begin"/>
      </w:r>
      <w:r>
        <w:instrText xml:space="preserve"> HYPERLINK "http://russia-ensemble.ru.21.oml.ru/d/02_03_2015_2.doc"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5" w:name="_tyjcwt" w:colFirst="0" w:colLast="0"/>
      <w:bookmarkEnd w:id="5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Образец заполнения справок о доходах, расходах, об имуществе и обязательствах имущественного характера государственного гражданского служащего </w:t>
      </w:r>
      <w:r>
        <w:fldChar w:fldCharType="begin"/>
      </w:r>
      <w:r>
        <w:instrText xml:space="preserve"> HYPERLINK "http://russia-ensemble.ru.21.oml.ru/d/14_10_2015_1_0.doc"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Справка о доходах, расходах, об имуществе и обязательствах имущественного характера, которую необходимо предоставлять в 2015 году </w:t>
      </w:r>
      <w:r>
        <w:fldChar w:fldCharType="begin"/>
      </w:r>
      <w:r>
        <w:instrText xml:space="preserve"> HYPERLINK "http://russia-ensemble.ru.21.oml.ru/d/23_01_2015_5.doc"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t>скачать▼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199" w:after="199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38"/>
          <w:szCs w:val="3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38"/>
          <w:szCs w:val="38"/>
          <w:u w:val="none"/>
          <w:shd w:val="clear" w:fill="auto"/>
          <w:vertAlign w:val="baseline"/>
          <w:rtl w:val="0"/>
        </w:rPr>
        <w:t>Сведения о доходах, расходах, об имуществе и обязательствах имущественного характера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bookmarkStart w:id="6" w:name="_3dy6vkm" w:colFirst="0" w:colLast="0"/>
      <w:bookmarkEnd w:id="6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-Сведения о доходах, расходах, об имуществе и обязательствах имущественного характера, представленные работниками ФГБУК «Государственный академический русский народный ансамбль «Россия» имени Л.Г.Зыкиной», замещающими должности, предусмотренные приложением 2 к приказу Минкультуры России от 26.02.2021 г.№ 243, за период с 1 января 2021 г. по 31 декабря 2021 г. </w:t>
      </w:r>
      <w:r>
        <w:fldChar w:fldCharType="begin"/>
      </w:r>
      <w:r>
        <w:instrText xml:space="preserve"> HYPERLINK "http://russia-ensemble.ru.21.oml.ru/f/pril_1_svedeniya_na_zamov_i_glb_za_2021_god-s_utochneniyami.doc"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155CC"/>
          <w:sz w:val="28"/>
          <w:szCs w:val="28"/>
          <w:highlight w:val="yellow"/>
          <w:u w:val="single"/>
          <w:vertAlign w:val="baseline"/>
          <w:rtl w:val="0"/>
        </w:rPr>
        <w:t>– ( скачать файл )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155CC"/>
          <w:sz w:val="28"/>
          <w:szCs w:val="28"/>
          <w:highlight w:val="yellow"/>
          <w:u w:val="single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Graphik LC" w:hAnsi="Graphik LC" w:eastAsia="Graphik LC" w:cs="Graphik LC"/>
          <w:b w:val="0"/>
          <w:i w:val="0"/>
          <w:smallCaps w:val="0"/>
          <w:strike w:val="0"/>
          <w:color w:val="B39038"/>
          <w:sz w:val="30"/>
          <w:szCs w:val="30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"https://culture.gov.ru/documents/utochnennye-svedeniya-o-dokhodakh-raskhodakh-ob-imushchestve-i-obyazatelstvakh-imushchestvennogo-kha1809202002/" </w:instrText>
      </w:r>
      <w:r>
        <w:fldChar w:fldCharType="separate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bookmarkStart w:id="7" w:name="_1t3h5sf" w:colFirst="0" w:colLast="0"/>
      <w:bookmarkEnd w:id="7"/>
      <w:r>
        <w:fldChar w:fldCharType="end"/>
      </w:r>
      <w:r>
        <w:fldChar w:fldCharType="begin"/>
      </w:r>
      <w:r>
        <w:instrText xml:space="preserve"> HYPERLINK "https://culture.gov.ru/documents/utochnennye-svedeniya-o-dokhodakh-raskhodakh-ob-imushchestve-i-obyazatelstvakh-imushchestvennogo-kha1809202002/"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-Сведения о доходах, расходах, об имуществе и обязательствах имущественного характера лиц, замещающих отдельные должности в организациях, созданных для выполнения задач, поставленных перед Минкультуры России, их супруг (супругов) и несовершеннолетних детей за период с 1 января 2021 г. по 31 декабря 2021 г. – ссылка на сайт МК РФ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199" w:after="199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bookmarkStart w:id="8" w:name="_4d34og8" w:colFirst="0" w:colLast="0"/>
      <w:bookmarkEnd w:id="8"/>
      <w:r>
        <w:fldChar w:fldCharType="end"/>
      </w:r>
      <w:r>
        <w:fldChar w:fldCharType="begin"/>
      </w:r>
      <w:r>
        <w:instrText xml:space="preserve"> HYPERLINK "https://www.mkrf.ru/activities/anti_corruption/income/" </w:instrText>
      </w:r>
      <w:r>
        <w:fldChar w:fldCharType="separate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24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9" w:name="_2s8eyo1" w:colFirst="0" w:colLast="0"/>
      <w:bookmarkEnd w:id="9"/>
      <w:r>
        <w:fldChar w:fldCharType="end"/>
      </w:r>
      <w:r>
        <w:fldChar w:fldCharType="begin"/>
      </w:r>
      <w:r>
        <w:instrText xml:space="preserve"> HYPERLINK "https://www.mkrf.ru/activities/anti_corruption/income/"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Сведения о доходах, расходах, об имуществе и обязательствах имущественного характера" официального сайта Минкультуры России►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fldChar w:fldCharType="end"/>
      </w:r>
      <w:r>
        <w:fldChar w:fldCharType="begin"/>
      </w:r>
      <w:r>
        <w:instrText xml:space="preserve"> HYPERLINK "https://www.mkrf.ru/activities/anti_corruption/income/" </w:instrText>
      </w:r>
      <w:r>
        <w:fldChar w:fldCharType="separate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bookmarkStart w:id="10" w:name="_17dp8vu" w:colFirst="0" w:colLast="0"/>
      <w:bookmarkEnd w:id="10"/>
      <w: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bookmarkStart w:id="11" w:name="_3rdcrjn" w:colFirst="0" w:colLast="0"/>
      <w:bookmarkEnd w:id="11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-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Сведения доступны по ссылке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7375E" w:themeColor="text2" w:themeShade="BF"/>
          <w:sz w:val="28"/>
          <w:szCs w:val="28"/>
          <w:highlight w:val="yellow"/>
          <w:u w:val="single"/>
          <w:vertAlign w:val="baseline"/>
          <w:rtl w:val="0"/>
        </w:rPr>
        <w:t xml:space="preserve">–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7375E" w:themeColor="text2" w:themeShade="BF"/>
          <w:sz w:val="28"/>
          <w:szCs w:val="28"/>
          <w:highlight w:val="yellow"/>
          <w:u w:val="single"/>
          <w:vertAlign w:val="baseline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7375E" w:themeColor="text2" w:themeShade="BF"/>
          <w:sz w:val="28"/>
          <w:szCs w:val="28"/>
          <w:highlight w:val="yellow"/>
          <w:u w:val="single"/>
          <w:vertAlign w:val="baseline"/>
        </w:rPr>
        <w:instrText xml:space="preserve"> HYPERLINK "https://russia-ensemble.ru/wp-content/uploads/2023/05/GARNA-Rossiya-Tablitsa-srednej-zarabotnoj-platy-za-2022-god_dlya-razmeshheniya-na-sajte.docx" </w:instrTex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7375E" w:themeColor="text2" w:themeShade="BF"/>
          <w:sz w:val="28"/>
          <w:szCs w:val="28"/>
          <w:highlight w:val="yellow"/>
          <w:u w:val="single"/>
          <w:vertAlign w:val="baseline"/>
        </w:rPr>
        <w:fldChar w:fldCharType="separate"/>
      </w:r>
      <w:r>
        <w:rPr>
          <w:rStyle w:val="10"/>
          <w:rFonts w:ascii="Times New Roman" w:hAnsi="Times New Roman" w:eastAsia="Times New Roman" w:cs="Times New Roman"/>
          <w:b w:val="0"/>
          <w:i w:val="0"/>
          <w:smallCaps w:val="0"/>
          <w:strike w:val="0"/>
          <w:color w:val="17375E" w:themeColor="text2" w:themeShade="BF"/>
          <w:sz w:val="28"/>
          <w:szCs w:val="28"/>
          <w:highlight w:val="yellow"/>
          <w:vertAlign w:val="baseline"/>
        </w:rPr>
        <w:t>( скачат</w:t>
      </w:r>
      <w:bookmarkStart w:id="17" w:name="_GoBack"/>
      <w:bookmarkEnd w:id="17"/>
      <w:r>
        <w:rPr>
          <w:rStyle w:val="10"/>
          <w:rFonts w:ascii="Times New Roman" w:hAnsi="Times New Roman" w:eastAsia="Times New Roman" w:cs="Times New Roman"/>
          <w:b w:val="0"/>
          <w:i w:val="0"/>
          <w:smallCaps w:val="0"/>
          <w:strike w:val="0"/>
          <w:color w:val="17375E" w:themeColor="text2" w:themeShade="BF"/>
          <w:sz w:val="28"/>
          <w:szCs w:val="28"/>
          <w:highlight w:val="yellow"/>
          <w:vertAlign w:val="baseline"/>
        </w:rPr>
        <w:t>ь файл)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7375E" w:themeColor="text2" w:themeShade="BF"/>
          <w:sz w:val="28"/>
          <w:szCs w:val="28"/>
          <w:highlight w:val="yellow"/>
          <w:u w:val="single"/>
          <w:vertAlign w:val="baseline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bookmarkStart w:id="12" w:name="_26in1rg" w:colFirst="0" w:colLast="0"/>
      <w:bookmarkEnd w:id="12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>-Сведения о доходах, расходах, об имуществе и обязательствах имущественного характера, представленные работниками ФГБУК «Государственный академический русский народный ансамбль «Россия» имени Л.Г.Зыкиной», замещающими должности, предусмотренные приложением 2 к приказу Минкультуры России от 26.02.2021 г.№ 243, за период с 1 января 2020 г. по 31 декабря 2020 г. (</w:t>
      </w:r>
      <w:r>
        <w:fldChar w:fldCharType="begin"/>
      </w:r>
      <w:r>
        <w:instrText xml:space="preserve"> HYPERLINK "http://russia-ensemble.ru.21.oml.ru/f/fajl_1_obshchij_spisok_za_2020.doc"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8"/>
          <w:szCs w:val="28"/>
          <w:highlight w:val="yellow"/>
          <w:u w:val="single"/>
          <w:vertAlign w:val="baseline"/>
          <w:rtl w:val="0"/>
        </w:rPr>
        <w:t>скачать файл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8"/>
          <w:szCs w:val="28"/>
          <w:highlight w:val="yellow"/>
          <w:u w:val="single"/>
          <w:vertAlign w:val="baseline"/>
          <w:rtl w:val="0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>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13" w:name="_lnxbz9" w:colFirst="0" w:colLast="0"/>
      <w:bookmarkEnd w:id="13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-</w:t>
      </w:r>
      <w:r>
        <w:fldChar w:fldCharType="begin"/>
      </w:r>
      <w:r>
        <w:instrText xml:space="preserve"> HYPERLINK "http://russia-ensemble.ru.21.oml.ru/f/pril_1_obshchij_spisok_za_2019.doc"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Сведения о доходах, расходах, об имуществе и обязательствах имущественного характера, представленные работниками ФГБУК «Государственный академический русский народный ансамбль «Россия» имени Л.Г.Зыкиной» за отчетный период с 1 января 2019 года по 31 декабря 2019 года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14" w:name="_35nkun2" w:colFirst="0" w:colLast="0"/>
      <w:bookmarkEnd w:id="14"/>
      <w:r>
        <w:fldChar w:fldCharType="begin"/>
      </w:r>
      <w:r>
        <w:instrText xml:space="preserve"> HYPERLINK "http://russia-ensemble.ru.21.oml.ru/f/pril_1_obshchiy_spisok_za_2018.doc"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Сведения о доходах, расходах, об имуществе и обязательствах имущественного характера, представленные работниками ФГБУК «Государственный академический русский народный ансамбль «Россия» имени Л.Г.Зыкиной»за отчетный периодс 1 января 2018 года по 31 декабря 2018 года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161" w:after="161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15" w:name="_1ksv4uv" w:colFirst="0" w:colLast="0"/>
      <w:bookmarkEnd w:id="15"/>
      <w:r>
        <w:fldChar w:fldCharType="begin"/>
      </w:r>
      <w:r>
        <w:instrText xml:space="preserve"> HYPERLINK "https://www.mkrf.ru/documents/svedeniya-o-dokhodakh-raskhodakh-ob-imushchestve-i-obyazatelstvakh-imushchestvennogo-kharaktera-ruko2705201903/"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Сведения о доходах, расходах, об имуществе и обязательствах имущественного характера руководителей организаций созданных для выполнения задач, поставленных перед Минкультуры России, за отчетный период с 1 января 2018 года по 31 декабря 2018 года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161" w:after="161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bookmarkStart w:id="16" w:name="_44sinio" w:colFirst="0" w:colLast="0"/>
      <w:bookmarkEnd w:id="16"/>
      <w:r>
        <w:fldChar w:fldCharType="begin"/>
      </w:r>
      <w:r>
        <w:instrText xml:space="preserve"> HYPERLINK "https://www.mkrf.ru/documents/svedeniya-o-dokhodakh-raskhodakh-ob-imushchestve-i-obyazatelstvakh-imushchestvennogo-kharaktera-lits2305201803/"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Сведения о доходах, расходах, об имуществе и обязательствах имущественного характера лиц, замещающих отдельные должности в организациях, созданных для выполнения задач, поставленных перед Минкультуры России, их супруг (супругов) и несовершеннолетних детей за период с 1 января 2017 г. по 31 декабря 2017 г.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199" w:after="199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199" w:after="199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38"/>
          <w:szCs w:val="3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38"/>
          <w:szCs w:val="38"/>
          <w:u w:val="none"/>
          <w:shd w:val="clear" w:fill="auto"/>
          <w:vertAlign w:val="baseline"/>
          <w:rtl w:val="0"/>
        </w:rPr>
        <w:t>Обратная связь для сообщений о фактах коррупции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3"/>
          <w:szCs w:val="33"/>
          <w:u w:val="none"/>
          <w:shd w:val="clear" w:fill="auto"/>
          <w:vertAlign w:val="baseline"/>
          <w:rtl w:val="0"/>
        </w:rPr>
        <w:t>Уважаемые заявители!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В целях реализации антикоррупционных мероприятий, проводимых Ансамблем "Россия" имени Л.Г.Зыкиной, повышения эффективности обеспечения соблюдения работниками и руководством Ансамбля "Россия" имени Л.Г.Зыкиной, ограничений, запретов, обязательств и правил служебного поведения, функционирует «телефон доверия» по вопросам противодействия коррупции: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+7 (499) 245-18-13. Время работы «телефона доверия»: с понедельника по пятницу 10.00-18.00.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Адрес электронной почты: </w:t>
      </w:r>
      <w:r>
        <w:fldChar w:fldCharType="begin"/>
      </w:r>
      <w:r>
        <w:instrText xml:space="preserve"> HYPERLINK "mailto:garnarussia-control@mail.ru"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3"/>
          <w:szCs w:val="23"/>
          <w:u w:val="single"/>
          <w:shd w:val="clear" w:fill="auto"/>
          <w:vertAlign w:val="baseline"/>
          <w:rtl w:val="0"/>
        </w:rPr>
        <w:t>garnarussia-control@mail.ru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CC0209"/>
          <w:sz w:val="23"/>
          <w:szCs w:val="23"/>
          <w:u w:val="single"/>
          <w:shd w:val="clear" w:fill="auto"/>
          <w:vertAlign w:val="baseline"/>
          <w:rtl w:val="0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 Почтовый адрес: 119146, г. Москва, Фрунзенская набережная, д. 18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К рассмотрению принимается информация по вопросам противодействия коррупции о фактах: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80" w:after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коррупционных проявлений в действиях работников Ансамбля "Россия" имени Л.Г.Зыкиной;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конфликта интересов в действиях работников Ансамбля "Россия" имени Л.Г.Зыкиной;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несоблюдения работниками Ансамбля "Россия" имени Л.Г.Зыкиной ограничений и запретов, установленных законодательством Российской Федерации.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Не рассматриваются: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80" w:after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анонимные обращения (без указания фамилии гражданина, направившего обращение);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обращения, не содержащие почтового адреса, по которому должен быть направлен ответ;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обращения, не касающиеся коррупционных проявлений;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Консультацию по вопросам противодействия коррупции можно получить в часы работы «телефона доверия» по адресу: 125009, г. Москва, 119146, г. Москва, Фрунзенская набережная, д. 18.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Конфиденциальность обращения гарантируется.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</w:p>
    <w:sectPr>
      <w:pgSz w:w="11906" w:h="16838"/>
      <w:pgMar w:top="1134" w:right="850" w:bottom="1134" w:left="1134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raphik LC">
    <w:altName w:val="Finale Ash Tex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inale Ash Text">
    <w:panose1 w:val="02000400000000000000"/>
    <w:charset w:val="00"/>
    <w:family w:val="auto"/>
    <w:pitch w:val="default"/>
    <w:sig w:usb0="00000003" w:usb1="00000000" w:usb2="00000000" w:usb3="00000000" w:csb0="20000001" w:csb1="00000000"/>
  </w:font>
  <w:font w:name="Noto Sans Symbols">
    <w:altName w:val="Finale Ash Tex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1A9505F"/>
    <w:rsid w:val="17237EFC"/>
    <w:rsid w:val="27CA0FDA"/>
    <w:rsid w:val="55DD32FD"/>
    <w:rsid w:val="5B235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2023-05-12T09:36:00Z</dcterms:created>
  <dc:creator>79262</dc:creator>
  <cp:lastModifiedBy>Ансамбль РОССИЯ</cp:lastModifiedBy>
  <dcterms:modified xsi:type="dcterms:W3CDTF">2023-05-12T09:43:33Z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8CA0EF198F7E45BCB9D95F4BCBE54AF6</vt:lpwstr>
  </property>
</Properties>
</file>